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FF61F" w14:textId="77777777" w:rsidR="002F513C" w:rsidRDefault="00000000">
      <w:pPr>
        <w:spacing w:after="20"/>
        <w:jc w:val="center"/>
      </w:pPr>
      <w:r>
        <w:rPr>
          <w:rFonts w:ascii="Calibri" w:hAnsi="Calibri"/>
          <w:b/>
          <w:color w:val="003C78"/>
          <w:sz w:val="27"/>
        </w:rPr>
        <w:t>CASO PEDAGÓGICO</w:t>
      </w:r>
    </w:p>
    <w:p w14:paraId="2821E113" w14:textId="77777777" w:rsidR="002F513C" w:rsidRDefault="00000000">
      <w:pPr>
        <w:spacing w:after="40"/>
        <w:jc w:val="center"/>
      </w:pPr>
      <w:r>
        <w:rPr>
          <w:rFonts w:ascii="Calibri" w:hAnsi="Calibri"/>
          <w:b/>
          <w:color w:val="0064A0"/>
          <w:sz w:val="21"/>
        </w:rPr>
        <w:t>El CAE y las Mesas Públicas en acción: cuando la comunidad organiza el control social del PAE</w:t>
      </w:r>
    </w:p>
    <w:p w14:paraId="36C45944" w14:textId="77777777" w:rsidR="002F513C" w:rsidRDefault="00000000">
      <w:pPr>
        <w:spacing w:after="80"/>
        <w:jc w:val="center"/>
      </w:pPr>
      <w:r>
        <w:rPr>
          <w:rFonts w:ascii="Calibri" w:hAnsi="Calibri"/>
          <w:i/>
          <w:color w:val="6E6E6E"/>
          <w:sz w:val="17"/>
        </w:rPr>
        <w:t>Módulo 3  |  Resolución 003 de 2026 – UApA  |  Anexo 7, Resolución 0155 de 2026</w:t>
      </w:r>
    </w:p>
    <w:p w14:paraId="25A1447F" w14:textId="77777777" w:rsidR="002F513C" w:rsidRDefault="002F513C">
      <w:pPr>
        <w:pBdr>
          <w:bottom w:val="single" w:sz="8" w:space="1" w:color="1A6FAD"/>
        </w:pBdr>
        <w:spacing w:after="100"/>
      </w:pPr>
    </w:p>
    <w:p w14:paraId="36CD77DB" w14:textId="77777777" w:rsidR="002F513C" w:rsidRDefault="00000000">
      <w:pPr>
        <w:shd w:val="clear" w:color="auto" w:fill="DDEEF9"/>
        <w:spacing w:after="120"/>
        <w:ind w:left="170" w:right="170"/>
      </w:pPr>
      <w:r>
        <w:rPr>
          <w:rFonts w:ascii="Calibri" w:hAnsi="Calibri"/>
          <w:color w:val="0A2D5A"/>
          <w:sz w:val="17"/>
        </w:rPr>
        <w:t>📍 I.E. Urbana «Simón Bolívar»  |  Municipio de El Banco, Magdalena  |  Modalidad: almuerzo escolar  |  Operador: AlimentArte S.A.S.  |  480 beneficiarios  |  ETC: Secretaría de Educación del Magdalena</w:t>
      </w:r>
    </w:p>
    <w:p w14:paraId="037BDD7C" w14:textId="77777777" w:rsidR="002F513C" w:rsidRDefault="00000000">
      <w:pPr>
        <w:spacing w:before="40" w:after="80"/>
      </w:pPr>
      <w:r>
        <w:rPr>
          <w:rFonts w:ascii="Calibri" w:hAnsi="Calibri"/>
          <w:b/>
          <w:color w:val="00467F"/>
          <w:sz w:val="21"/>
        </w:rPr>
        <w:t>1.  La situación: un CAE dormido, un comedor con problemas y una comunidad que despierta</w:t>
      </w:r>
    </w:p>
    <w:p w14:paraId="41EC981E" w14:textId="77777777" w:rsidR="002F513C" w:rsidRDefault="00000000">
      <w:pPr>
        <w:spacing w:after="80"/>
      </w:pPr>
      <w:r>
        <w:rPr>
          <w:rFonts w:ascii="Calibri" w:hAnsi="Calibri"/>
          <w:sz w:val="19"/>
        </w:rPr>
        <w:t>Es la primera semana de marzo de 2026 y el año escolar en la I.E. Simón Bolívar lleva ya dos meses en marcha. El PAE está en operación desde el 5 de febrero, pero nadie ha convocado al Comité de Alimentación Escolar. El rector, el profesor Hernando Suárez, reconoce que entre los trámites de inicio de año el CAE quedó en el olvido —y con él, el mecanismo formal de vigilancia del servicio—.</w:t>
      </w:r>
    </w:p>
    <w:p w14:paraId="2C9487F9" w14:textId="77777777" w:rsidR="002F513C" w:rsidRDefault="00000000">
      <w:pPr>
        <w:spacing w:after="80"/>
      </w:pPr>
      <w:r>
        <w:rPr>
          <w:rFonts w:ascii="Calibri" w:hAnsi="Calibri"/>
          <w:sz w:val="19"/>
        </w:rPr>
        <w:t>Mientras tanto, en el comedor las señales de alerta se acumulan. Carolina Torres, madre de una niña de cuarto grado y presidenta de la Asociación de Padres, ha recibido en los últimos quince días una cadena de quejas de otras familias: los almuerzos llegan fríos y con retraso, el arroz aparece sin cocinar del todo en varias ocasiones, y el postre —que según el ciclo de menús aprobado por la UApA debe ser fruta fresca— ha sido reemplazado sistemáticamente por un dulce industrial. Dos docentes reportan que varios estudiantes de primaria devuelven el plato sin comer. Una madre cuenta que su hijo llegó a casa con dolor de estómago tres días seguidos. El operador, cuando se le pregunta, responde que «todo está dentro de los estándares» y no presenta ningún soporte.</w:t>
      </w:r>
    </w:p>
    <w:p w14:paraId="59312376" w14:textId="77777777" w:rsidR="002F513C" w:rsidRDefault="00000000">
      <w:pPr>
        <w:spacing w:after="100"/>
      </w:pPr>
      <w:r>
        <w:rPr>
          <w:rFonts w:ascii="Calibri" w:hAnsi="Calibri"/>
          <w:sz w:val="19"/>
        </w:rPr>
        <w:t>Carolina sabe que esta situación no puede resolverse con quejas informales en el grupo de WhatsApp. Ha cursado el Módulo 3 del programa de formación en Participación Ciudadana y Control Social del PAE y conoce con precisión las instancias creadas para exactamente este tipo de situación: el CAE y la Mesa Pública. Decide actuar —y lo hace con fundamento normativo.</w:t>
      </w:r>
    </w:p>
    <w:p w14:paraId="4D2A550F" w14:textId="77777777" w:rsidR="002F513C" w:rsidRDefault="00000000">
      <w:pPr>
        <w:spacing w:before="40" w:after="60"/>
      </w:pPr>
      <w:r>
        <w:rPr>
          <w:rFonts w:ascii="Calibri" w:hAnsi="Calibri"/>
          <w:b/>
          <w:color w:val="00467F"/>
          <w:sz w:val="21"/>
        </w:rPr>
        <w:t>2.  Primera instancia: conformar y activar el CAE (Res. 003/2026, Art. 3 y 5 – Anexo 7, Num. 2)</w:t>
      </w:r>
    </w:p>
    <w:p w14:paraId="6C0E0F91" w14:textId="77777777" w:rsidR="002F513C" w:rsidRDefault="00000000">
      <w:pPr>
        <w:spacing w:after="80"/>
      </w:pPr>
      <w:r>
        <w:rPr>
          <w:rFonts w:ascii="Calibri" w:hAnsi="Calibri"/>
          <w:sz w:val="19"/>
        </w:rPr>
        <w:t>Carolina se acerca al rector Suárez y le recuerda que la Resolución 003/2026 (Art. 5) obliga a conformar el CAE dentro de los primeros 30 días calendario del inicio de la operación del PAE —plazo que ya venció—. El rector, consciente de su responsabilidad como presidente del CAE, convoca de inmediato a los órganos de gobierno escolar.</w:t>
      </w:r>
    </w:p>
    <w:p w14:paraId="727815D3" w14:textId="77777777" w:rsidR="002F513C" w:rsidRDefault="00000000">
      <w:pPr>
        <w:spacing w:after="80"/>
      </w:pPr>
      <w:r>
        <w:rPr>
          <w:rFonts w:ascii="Calibri" w:hAnsi="Calibri"/>
          <w:sz w:val="19"/>
        </w:rPr>
        <w:t>En los siguientes cinco días hábiles se surten los pasos del procedimiento de conformación establecido en el Anexo 7: el Consejo Académico elige un docente, el Consejo de Padres elige a Carolina y a otro representante, el Consejo Estudiantil elige a una estudiante de grado séptimo, y el operador designa su delegado. El 12 de marzo se realiza la primera reunión de conformación: se elige al secretario, se elabora el acta con los nombres, cargos y firmas de todos los integrantes —usando el formato del Anexo 7— y se aprueba el plan de trabajo del semestre. El rector remite copia del acta a la Secretaría de Educación del Magdalena dentro de los cinco días hábiles siguientes.</w:t>
      </w:r>
    </w:p>
    <w:p w14:paraId="03EA2BED" w14:textId="77777777" w:rsidR="002F513C" w:rsidRDefault="00000000">
      <w:pPr>
        <w:spacing w:after="80"/>
      </w:pPr>
      <w:r>
        <w:rPr>
          <w:rFonts w:ascii="Calibri" w:hAnsi="Calibri"/>
          <w:sz w:val="19"/>
        </w:rPr>
        <w:t>El CAE entra en funciones de inmediato. En su primera visita al comedor, los integrantes verifican in situ las quejas recibidas: constatan que el ciclo de menús no se está cumpliendo, que los gramajes son inferiores a los aprobados y que las condiciones de higiene en la cocina presentan observaciones. Todo queda registrado en el acta de visita con evidencia fotográfica —tal como recomienda el módulo—. El CAE elabora su primer informe y lo remite al operador y a la ETC, exigiendo correctivos en 48 horas.</w:t>
      </w:r>
    </w:p>
    <w:p w14:paraId="49A3E8B5" w14:textId="77777777" w:rsidR="002F513C" w:rsidRDefault="00000000">
      <w:pPr>
        <w:spacing w:after="60"/>
      </w:pPr>
      <w:r>
        <w:rPr>
          <w:rFonts w:ascii="Calibri" w:hAnsi="Calibri"/>
          <w:i/>
          <w:color w:val="3C3C3C"/>
          <w:sz w:val="18"/>
        </w:rPr>
        <w:t>El CAE de la I.E. Simón Bolívar ejerce, desde su primera sesión, las funciones establecidas en la norma:</w:t>
      </w:r>
    </w:p>
    <w:tbl>
      <w:tblPr>
        <w:tblStyle w:val="Tablaconcuadrcula"/>
        <w:tblW w:w="0" w:type="auto"/>
        <w:tblLook w:val="04A0" w:firstRow="1" w:lastRow="0" w:firstColumn="1" w:lastColumn="0" w:noHBand="0" w:noVBand="1"/>
      </w:tblPr>
      <w:tblGrid>
        <w:gridCol w:w="3118"/>
        <w:gridCol w:w="4989"/>
      </w:tblGrid>
      <w:tr w:rsidR="002F513C" w14:paraId="2350158B" w14:textId="77777777">
        <w:tc>
          <w:tcPr>
            <w:tcW w:w="3118" w:type="dxa"/>
            <w:shd w:val="clear" w:color="auto" w:fill="1A6FAD"/>
          </w:tcPr>
          <w:p w14:paraId="302337C7" w14:textId="77777777" w:rsidR="002F513C" w:rsidRDefault="00000000">
            <w:pPr>
              <w:spacing w:before="20" w:after="20"/>
            </w:pPr>
            <w:r>
              <w:rPr>
                <w:rFonts w:ascii="Calibri" w:hAnsi="Calibri"/>
                <w:b/>
                <w:color w:val="FFFFFF"/>
                <w:sz w:val="17"/>
              </w:rPr>
              <w:t>Función del CAE (Módulo 3 – Unidad 1)</w:t>
            </w:r>
          </w:p>
        </w:tc>
        <w:tc>
          <w:tcPr>
            <w:tcW w:w="4989" w:type="dxa"/>
            <w:shd w:val="clear" w:color="auto" w:fill="1A6FAD"/>
          </w:tcPr>
          <w:p w14:paraId="521FA6D5" w14:textId="77777777" w:rsidR="002F513C" w:rsidRDefault="00000000">
            <w:pPr>
              <w:spacing w:before="20" w:after="20"/>
            </w:pPr>
            <w:r>
              <w:rPr>
                <w:rFonts w:ascii="Calibri" w:hAnsi="Calibri"/>
                <w:b/>
                <w:color w:val="FFFFFF"/>
                <w:sz w:val="17"/>
              </w:rPr>
              <w:t>Cómo se aplica en el caso</w:t>
            </w:r>
          </w:p>
        </w:tc>
      </w:tr>
      <w:tr w:rsidR="002F513C" w14:paraId="732711FA" w14:textId="77777777">
        <w:tc>
          <w:tcPr>
            <w:tcW w:w="3118" w:type="dxa"/>
          </w:tcPr>
          <w:p w14:paraId="52573901" w14:textId="77777777" w:rsidR="002F513C" w:rsidRDefault="00000000">
            <w:pPr>
              <w:spacing w:before="20" w:after="20"/>
            </w:pPr>
            <w:r>
              <w:rPr>
                <w:rFonts w:ascii="Calibri" w:hAnsi="Calibri"/>
                <w:sz w:val="17"/>
              </w:rPr>
              <w:t>Verificar calidad, cantidad y condiciones de alimentos</w:t>
            </w:r>
          </w:p>
        </w:tc>
        <w:tc>
          <w:tcPr>
            <w:tcW w:w="4989" w:type="dxa"/>
          </w:tcPr>
          <w:p w14:paraId="7732CE73" w14:textId="77777777" w:rsidR="002F513C" w:rsidRDefault="00000000">
            <w:pPr>
              <w:spacing w:before="20" w:after="20"/>
            </w:pPr>
            <w:r>
              <w:rPr>
                <w:rFonts w:ascii="Calibri" w:hAnsi="Calibri"/>
                <w:sz w:val="17"/>
              </w:rPr>
              <w:t>Visita al comedor: menú incumplido, gramajes insuficientes, higiene con observaciones.</w:t>
            </w:r>
          </w:p>
        </w:tc>
      </w:tr>
      <w:tr w:rsidR="002F513C" w14:paraId="2026F744" w14:textId="77777777">
        <w:tc>
          <w:tcPr>
            <w:tcW w:w="3118" w:type="dxa"/>
          </w:tcPr>
          <w:p w14:paraId="3CE99BEE" w14:textId="77777777" w:rsidR="002F513C" w:rsidRDefault="00000000">
            <w:pPr>
              <w:spacing w:before="20" w:after="20"/>
            </w:pPr>
            <w:r>
              <w:rPr>
                <w:rFonts w:ascii="Calibri" w:hAnsi="Calibri"/>
                <w:sz w:val="17"/>
              </w:rPr>
              <w:t>Revisar cumplimiento del ciclo de menús</w:t>
            </w:r>
          </w:p>
        </w:tc>
        <w:tc>
          <w:tcPr>
            <w:tcW w:w="4989" w:type="dxa"/>
          </w:tcPr>
          <w:p w14:paraId="690FD9E4" w14:textId="77777777" w:rsidR="002F513C" w:rsidRDefault="00000000">
            <w:pPr>
              <w:spacing w:before="20" w:after="20"/>
            </w:pPr>
            <w:r>
              <w:rPr>
                <w:rFonts w:ascii="Calibri" w:hAnsi="Calibri"/>
                <w:sz w:val="17"/>
              </w:rPr>
              <w:t>Fruta fresca reemplazada por dulce industrial: incumplimiento documentado con foto.</w:t>
            </w:r>
          </w:p>
        </w:tc>
      </w:tr>
      <w:tr w:rsidR="002F513C" w14:paraId="53ADD408" w14:textId="77777777">
        <w:tc>
          <w:tcPr>
            <w:tcW w:w="3118" w:type="dxa"/>
          </w:tcPr>
          <w:p w14:paraId="11E8B3B6" w14:textId="77777777" w:rsidR="002F513C" w:rsidRDefault="00000000">
            <w:pPr>
              <w:spacing w:before="20" w:after="20"/>
            </w:pPr>
            <w:r>
              <w:rPr>
                <w:rFonts w:ascii="Calibri" w:hAnsi="Calibri"/>
                <w:sz w:val="17"/>
              </w:rPr>
              <w:t>Recibir y tramitar quejas de la comunidad</w:t>
            </w:r>
          </w:p>
        </w:tc>
        <w:tc>
          <w:tcPr>
            <w:tcW w:w="4989" w:type="dxa"/>
          </w:tcPr>
          <w:p w14:paraId="274315F3" w14:textId="77777777" w:rsidR="002F513C" w:rsidRDefault="00000000">
            <w:pPr>
              <w:spacing w:before="20" w:after="20"/>
            </w:pPr>
            <w:r>
              <w:rPr>
                <w:rFonts w:ascii="Calibri" w:hAnsi="Calibri"/>
                <w:sz w:val="17"/>
              </w:rPr>
              <w:t>Quejas de familias canalizadas formalmente a través del CAE hacia la ETC.</w:t>
            </w:r>
          </w:p>
        </w:tc>
      </w:tr>
      <w:tr w:rsidR="002F513C" w14:paraId="2354B6F5" w14:textId="77777777">
        <w:tc>
          <w:tcPr>
            <w:tcW w:w="3118" w:type="dxa"/>
          </w:tcPr>
          <w:p w14:paraId="4EAC1F0E" w14:textId="77777777" w:rsidR="002F513C" w:rsidRDefault="00000000">
            <w:pPr>
              <w:spacing w:before="20" w:after="20"/>
            </w:pPr>
            <w:r>
              <w:rPr>
                <w:rFonts w:ascii="Calibri" w:hAnsi="Calibri"/>
                <w:sz w:val="17"/>
              </w:rPr>
              <w:t>Elaborar informe bimestral a la ETC</w:t>
            </w:r>
          </w:p>
        </w:tc>
        <w:tc>
          <w:tcPr>
            <w:tcW w:w="4989" w:type="dxa"/>
          </w:tcPr>
          <w:p w14:paraId="3C30485C" w14:textId="77777777" w:rsidR="002F513C" w:rsidRDefault="00000000">
            <w:pPr>
              <w:spacing w:before="20" w:after="20"/>
            </w:pPr>
            <w:r>
              <w:rPr>
                <w:rFonts w:ascii="Calibri" w:hAnsi="Calibri"/>
                <w:sz w:val="17"/>
              </w:rPr>
              <w:t>Primer informe remitido en la misma semana; incluirá seguimiento en el informe de mayo.</w:t>
            </w:r>
          </w:p>
        </w:tc>
      </w:tr>
      <w:tr w:rsidR="002F513C" w14:paraId="7411A4F5" w14:textId="77777777">
        <w:tc>
          <w:tcPr>
            <w:tcW w:w="3118" w:type="dxa"/>
          </w:tcPr>
          <w:p w14:paraId="03FB9E10" w14:textId="77777777" w:rsidR="002F513C" w:rsidRDefault="00000000">
            <w:pPr>
              <w:spacing w:before="20" w:after="20"/>
            </w:pPr>
            <w:r>
              <w:rPr>
                <w:rFonts w:ascii="Calibri" w:hAnsi="Calibri"/>
                <w:sz w:val="17"/>
              </w:rPr>
              <w:t>Participar en la Mesa Pública</w:t>
            </w:r>
          </w:p>
        </w:tc>
        <w:tc>
          <w:tcPr>
            <w:tcW w:w="4989" w:type="dxa"/>
          </w:tcPr>
          <w:p w14:paraId="66EB831C" w14:textId="77777777" w:rsidR="002F513C" w:rsidRDefault="00000000">
            <w:pPr>
              <w:spacing w:before="20" w:after="20"/>
            </w:pPr>
            <w:r>
              <w:rPr>
                <w:rFonts w:ascii="Calibri" w:hAnsi="Calibri"/>
                <w:sz w:val="17"/>
              </w:rPr>
              <w:t>El CAE prepara su informe de hallazgos para presentarlo en la Mesa Pública de junio.</w:t>
            </w:r>
          </w:p>
        </w:tc>
      </w:tr>
    </w:tbl>
    <w:p w14:paraId="63F23866" w14:textId="77777777" w:rsidR="002F513C" w:rsidRDefault="002F513C">
      <w:pPr>
        <w:spacing w:after="80"/>
      </w:pPr>
    </w:p>
    <w:p w14:paraId="5E6A8263" w14:textId="77777777" w:rsidR="002F513C" w:rsidRDefault="00000000">
      <w:pPr>
        <w:spacing w:before="60" w:after="60"/>
      </w:pPr>
      <w:r>
        <w:rPr>
          <w:rFonts w:ascii="Calibri" w:hAnsi="Calibri"/>
          <w:b/>
          <w:color w:val="00467F"/>
          <w:sz w:val="21"/>
        </w:rPr>
        <w:t>3.  Segunda instancia: la Mesa Pública de Participación (Res. 003/2026, Art. 12 – Ley 1757/2015)</w:t>
      </w:r>
    </w:p>
    <w:p w14:paraId="3718E7EE" w14:textId="77777777" w:rsidR="002F513C" w:rsidRDefault="00000000">
      <w:pPr>
        <w:spacing w:after="80"/>
      </w:pPr>
      <w:r>
        <w:rPr>
          <w:rFonts w:ascii="Calibri" w:hAnsi="Calibri"/>
          <w:sz w:val="19"/>
        </w:rPr>
        <w:t>Con los informes del CAE en mano, la Secretaría de Educación del Magdalena convoca la Mesa Pública semestral del PAE para el 18 de junio de 2026 —con quince días de anticipación, tal como lo exige la norma—. El evento es público y abierto: asisten padres de familia, docentes, estudiantes, líderes comunitarios, el operador AlimentArte S.A.S. y un representante de la Personería Municipal.</w:t>
      </w:r>
    </w:p>
    <w:p w14:paraId="518678BD" w14:textId="77777777" w:rsidR="002F513C" w:rsidRDefault="00000000">
      <w:pPr>
        <w:spacing w:after="80"/>
      </w:pPr>
      <w:r>
        <w:rPr>
          <w:rFonts w:ascii="Calibri" w:hAnsi="Calibri"/>
          <w:sz w:val="19"/>
        </w:rPr>
        <w:t>La Mesa Pública sigue la agenda tipo establecida en el Módulo 3: apertura a cargo del Secretario de Educación, informe de gestión de la ETC con datos de cobertura y recursos ejecutados, informe del operador sobre los menús servidos y las novedades del contrato, e informe del CAE de la I.E. Simón Bolívar con los hallazgos documentados desde marzo. Carolina presenta el informe del CAE ante toda la comunidad: muestra las fotografías, describe los incumplimientos y da voz a las familias que habían reportado las quejas. El operador debe responder en público.</w:t>
      </w:r>
    </w:p>
    <w:p w14:paraId="2ED2DE5A" w14:textId="77777777" w:rsidR="002F513C" w:rsidRDefault="00000000">
      <w:pPr>
        <w:spacing w:after="100"/>
      </w:pPr>
      <w:r>
        <w:rPr>
          <w:rFonts w:ascii="Calibri" w:hAnsi="Calibri"/>
          <w:sz w:val="19"/>
        </w:rPr>
        <w:t>En el espacio de preguntas, las familias formulan sus observaciones con base en hechos verificables —tal como lo establece el deber de los participantes en la Mesa Pública—. La ETC toma nota y, en el cierre, se registran en el acta los compromisos con responsables y plazos: el operador deberá ajustar el menú y los gramajes en los siguientes diez días hábiles, la ETC reforzará la supervisión del contrato y el CAE realizará una visita de verificación antes del siguiente informe bimestral.</w:t>
      </w:r>
    </w:p>
    <w:p w14:paraId="6AA8E78D" w14:textId="77777777" w:rsidR="002F513C" w:rsidRDefault="00000000">
      <w:pPr>
        <w:shd w:val="clear" w:color="auto" w:fill="E8F5E9"/>
        <w:spacing w:before="60" w:after="100"/>
        <w:ind w:left="170" w:right="170"/>
      </w:pPr>
      <w:r>
        <w:rPr>
          <w:rFonts w:ascii="Calibri" w:hAnsi="Calibri"/>
          <w:b/>
          <w:color w:val="0A6432"/>
          <w:sz w:val="19"/>
        </w:rPr>
        <w:t xml:space="preserve">✅  Resultado:  </w:t>
      </w:r>
      <w:r>
        <w:rPr>
          <w:rFonts w:ascii="Calibri" w:hAnsi="Calibri"/>
          <w:color w:val="0F5023"/>
          <w:sz w:val="19"/>
        </w:rPr>
        <w:t>Tres semanas después de la Mesa Pública, el operador corrige el menú, ajusta los gramajes y mejora las condiciones de higiene en la cocina. El CAE verifica el cumplimiento en su visita de julio y lo registra en el informe bimestral. Carolina y el rector Suárez demuestran que cuando el CAE funciona y la Mesa Pública se realiza, el sistema de participación ciudadana protege el derecho a la alimentación de los 480 estudiantes de la I.E. Simón Bolívar.</w:t>
      </w:r>
    </w:p>
    <w:p w14:paraId="6CC809A6" w14:textId="77777777" w:rsidR="002F513C" w:rsidRDefault="00000000">
      <w:pPr>
        <w:spacing w:before="40" w:after="60"/>
      </w:pPr>
      <w:r>
        <w:rPr>
          <w:rFonts w:ascii="Calibri" w:hAnsi="Calibri"/>
          <w:b/>
          <w:color w:val="00467F"/>
          <w:sz w:val="21"/>
        </w:rPr>
        <w:t>4.  Síntesis pedagógica: el sistema articulado de participación ciudadana</w:t>
      </w:r>
    </w:p>
    <w:tbl>
      <w:tblPr>
        <w:tblStyle w:val="Tablaconcuadrcula"/>
        <w:tblW w:w="0" w:type="auto"/>
        <w:tblLook w:val="04A0" w:firstRow="1" w:lastRow="0" w:firstColumn="1" w:lastColumn="0" w:noHBand="0" w:noVBand="1"/>
      </w:tblPr>
      <w:tblGrid>
        <w:gridCol w:w="3118"/>
        <w:gridCol w:w="4989"/>
      </w:tblGrid>
      <w:tr w:rsidR="002F513C" w14:paraId="1F9CEA1A" w14:textId="77777777">
        <w:tc>
          <w:tcPr>
            <w:tcW w:w="3118" w:type="dxa"/>
            <w:shd w:val="clear" w:color="auto" w:fill="1A6FAD"/>
          </w:tcPr>
          <w:p w14:paraId="5127280E" w14:textId="77777777" w:rsidR="002F513C" w:rsidRDefault="00000000">
            <w:pPr>
              <w:spacing w:before="20" w:after="20"/>
            </w:pPr>
            <w:r>
              <w:rPr>
                <w:rFonts w:ascii="Calibri" w:hAnsi="Calibri"/>
                <w:b/>
                <w:color w:val="FFFFFF"/>
                <w:sz w:val="17"/>
              </w:rPr>
              <w:t>Contenido del Módulo 3</w:t>
            </w:r>
          </w:p>
        </w:tc>
        <w:tc>
          <w:tcPr>
            <w:tcW w:w="4989" w:type="dxa"/>
            <w:shd w:val="clear" w:color="auto" w:fill="1A6FAD"/>
          </w:tcPr>
          <w:p w14:paraId="66387993" w14:textId="77777777" w:rsidR="002F513C" w:rsidRDefault="00000000">
            <w:pPr>
              <w:spacing w:before="20" w:after="20"/>
            </w:pPr>
            <w:r>
              <w:rPr>
                <w:rFonts w:ascii="Calibri" w:hAnsi="Calibri"/>
                <w:b/>
                <w:color w:val="FFFFFF"/>
                <w:sz w:val="17"/>
              </w:rPr>
              <w:t>Cómo se evidencia en el caso</w:t>
            </w:r>
          </w:p>
        </w:tc>
      </w:tr>
      <w:tr w:rsidR="002F513C" w14:paraId="62B6E08B" w14:textId="77777777">
        <w:tc>
          <w:tcPr>
            <w:tcW w:w="3118" w:type="dxa"/>
          </w:tcPr>
          <w:p w14:paraId="61CD97EC" w14:textId="77777777" w:rsidR="002F513C" w:rsidRDefault="00000000">
            <w:pPr>
              <w:spacing w:before="20" w:after="20"/>
            </w:pPr>
            <w:r>
              <w:rPr>
                <w:rFonts w:ascii="Calibri" w:hAnsi="Calibri"/>
                <w:sz w:val="17"/>
              </w:rPr>
              <w:t>Conformación del CAE (Unidad 1 – pasos 1 a 6)</w:t>
            </w:r>
          </w:p>
        </w:tc>
        <w:tc>
          <w:tcPr>
            <w:tcW w:w="4989" w:type="dxa"/>
          </w:tcPr>
          <w:p w14:paraId="274A2695" w14:textId="77777777" w:rsidR="002F513C" w:rsidRDefault="00000000">
            <w:pPr>
              <w:spacing w:before="20" w:after="20"/>
            </w:pPr>
            <w:r>
              <w:rPr>
                <w:rFonts w:ascii="Calibri" w:hAnsi="Calibri"/>
                <w:sz w:val="17"/>
              </w:rPr>
              <w:t>El rector sigue el procedimiento formal: convocatoria, elección, acta con formato Anexo 7, reporte a la ETC.</w:t>
            </w:r>
          </w:p>
        </w:tc>
      </w:tr>
      <w:tr w:rsidR="002F513C" w14:paraId="4EE73D3B" w14:textId="77777777">
        <w:tc>
          <w:tcPr>
            <w:tcW w:w="3118" w:type="dxa"/>
          </w:tcPr>
          <w:p w14:paraId="1CD11A1A" w14:textId="77777777" w:rsidR="002F513C" w:rsidRDefault="00000000">
            <w:pPr>
              <w:spacing w:before="20" w:after="20"/>
            </w:pPr>
            <w:r>
              <w:rPr>
                <w:rFonts w:ascii="Calibri" w:hAnsi="Calibri"/>
                <w:sz w:val="17"/>
              </w:rPr>
              <w:t>Composición del CAE</w:t>
            </w:r>
          </w:p>
        </w:tc>
        <w:tc>
          <w:tcPr>
            <w:tcW w:w="4989" w:type="dxa"/>
          </w:tcPr>
          <w:p w14:paraId="1CE3169D" w14:textId="77777777" w:rsidR="002F513C" w:rsidRDefault="00000000">
            <w:pPr>
              <w:spacing w:before="20" w:after="20"/>
            </w:pPr>
            <w:r>
              <w:rPr>
                <w:rFonts w:ascii="Calibri" w:hAnsi="Calibri"/>
                <w:sz w:val="17"/>
              </w:rPr>
              <w:t>Rector, docente, dos padres (Carolina), estudiante y delegado del operador: todos los integrantes requeridos.</w:t>
            </w:r>
          </w:p>
        </w:tc>
      </w:tr>
      <w:tr w:rsidR="002F513C" w14:paraId="0C986AF0" w14:textId="77777777">
        <w:tc>
          <w:tcPr>
            <w:tcW w:w="3118" w:type="dxa"/>
          </w:tcPr>
          <w:p w14:paraId="1824E31E" w14:textId="77777777" w:rsidR="002F513C" w:rsidRDefault="00000000">
            <w:pPr>
              <w:spacing w:before="20" w:after="20"/>
            </w:pPr>
            <w:r>
              <w:rPr>
                <w:rFonts w:ascii="Calibri" w:hAnsi="Calibri"/>
                <w:sz w:val="17"/>
              </w:rPr>
              <w:t>Funciones del CAE</w:t>
            </w:r>
          </w:p>
        </w:tc>
        <w:tc>
          <w:tcPr>
            <w:tcW w:w="4989" w:type="dxa"/>
          </w:tcPr>
          <w:p w14:paraId="5A29B1D7" w14:textId="77777777" w:rsidR="002F513C" w:rsidRDefault="00000000">
            <w:pPr>
              <w:spacing w:before="20" w:after="20"/>
            </w:pPr>
            <w:r>
              <w:rPr>
                <w:rFonts w:ascii="Calibri" w:hAnsi="Calibri"/>
                <w:sz w:val="17"/>
              </w:rPr>
              <w:t>Verificación en comedor, informe bimestral con foto-evidencia, tramitación de quejas y preparación para la Mesa.</w:t>
            </w:r>
          </w:p>
        </w:tc>
      </w:tr>
      <w:tr w:rsidR="002F513C" w14:paraId="487C46C5" w14:textId="77777777">
        <w:tc>
          <w:tcPr>
            <w:tcW w:w="3118" w:type="dxa"/>
          </w:tcPr>
          <w:p w14:paraId="4E4B26E5" w14:textId="77777777" w:rsidR="002F513C" w:rsidRDefault="00000000">
            <w:pPr>
              <w:spacing w:before="20" w:after="20"/>
            </w:pPr>
            <w:r>
              <w:rPr>
                <w:rFonts w:ascii="Calibri" w:hAnsi="Calibri"/>
                <w:sz w:val="17"/>
              </w:rPr>
              <w:t>Mesa Pública – agenda tipo (Unidad 3)</w:t>
            </w:r>
          </w:p>
        </w:tc>
        <w:tc>
          <w:tcPr>
            <w:tcW w:w="4989" w:type="dxa"/>
          </w:tcPr>
          <w:p w14:paraId="341FF164" w14:textId="77777777" w:rsidR="002F513C" w:rsidRDefault="00000000">
            <w:pPr>
              <w:spacing w:before="20" w:after="20"/>
            </w:pPr>
            <w:r>
              <w:rPr>
                <w:rFonts w:ascii="Calibri" w:hAnsi="Calibri"/>
                <w:sz w:val="17"/>
              </w:rPr>
              <w:t>Apertura, informe ETC, informe operador, informe CAE, preguntas y cierre con compromisos firmados.</w:t>
            </w:r>
          </w:p>
        </w:tc>
      </w:tr>
      <w:tr w:rsidR="002F513C" w14:paraId="4C8B0697" w14:textId="77777777">
        <w:tc>
          <w:tcPr>
            <w:tcW w:w="3118" w:type="dxa"/>
          </w:tcPr>
          <w:p w14:paraId="62B3CB4E" w14:textId="77777777" w:rsidR="002F513C" w:rsidRDefault="00000000">
            <w:pPr>
              <w:spacing w:before="20" w:after="20"/>
            </w:pPr>
            <w:r>
              <w:rPr>
                <w:rFonts w:ascii="Calibri" w:hAnsi="Calibri"/>
                <w:sz w:val="17"/>
              </w:rPr>
              <w:t>Derechos y deberes en la Mesa Pública</w:t>
            </w:r>
          </w:p>
        </w:tc>
        <w:tc>
          <w:tcPr>
            <w:tcW w:w="4989" w:type="dxa"/>
          </w:tcPr>
          <w:p w14:paraId="268B6413" w14:textId="77777777" w:rsidR="002F513C" w:rsidRDefault="00000000">
            <w:pPr>
              <w:spacing w:before="20" w:after="20"/>
            </w:pPr>
            <w:r>
              <w:rPr>
                <w:rFonts w:ascii="Calibri" w:hAnsi="Calibri"/>
                <w:sz w:val="17"/>
              </w:rPr>
              <w:t>Las familias participan con hechos verificables; la ETC y el operador rinden cuentas con compromisos claros.</w:t>
            </w:r>
          </w:p>
        </w:tc>
      </w:tr>
      <w:tr w:rsidR="002F513C" w14:paraId="622A2CE7" w14:textId="77777777">
        <w:tc>
          <w:tcPr>
            <w:tcW w:w="3118" w:type="dxa"/>
          </w:tcPr>
          <w:p w14:paraId="0C88B8F5" w14:textId="77777777" w:rsidR="002F513C" w:rsidRDefault="00000000">
            <w:pPr>
              <w:spacing w:before="20" w:after="20"/>
            </w:pPr>
            <w:r>
              <w:rPr>
                <w:rFonts w:ascii="Calibri" w:hAnsi="Calibri"/>
                <w:sz w:val="17"/>
              </w:rPr>
              <w:t>Sistema articulado CAE → Mesa Pública</w:t>
            </w:r>
          </w:p>
        </w:tc>
        <w:tc>
          <w:tcPr>
            <w:tcW w:w="4989" w:type="dxa"/>
          </w:tcPr>
          <w:p w14:paraId="742C4A45" w14:textId="77777777" w:rsidR="002F513C" w:rsidRDefault="00000000">
            <w:pPr>
              <w:spacing w:before="20" w:after="20"/>
            </w:pPr>
            <w:r>
              <w:rPr>
                <w:rFonts w:ascii="Calibri" w:hAnsi="Calibri"/>
                <w:sz w:val="17"/>
              </w:rPr>
              <w:t>El CAE genera la información; la Mesa Pública la presenta a la comunidad y produce compromisos verificables.</w:t>
            </w:r>
          </w:p>
        </w:tc>
      </w:tr>
    </w:tbl>
    <w:p w14:paraId="07099315" w14:textId="77777777" w:rsidR="002F513C" w:rsidRDefault="002F513C">
      <w:pPr>
        <w:spacing w:after="80"/>
      </w:pPr>
    </w:p>
    <w:p w14:paraId="155C3518" w14:textId="77777777" w:rsidR="002F513C" w:rsidRDefault="00000000">
      <w:pPr>
        <w:shd w:val="clear" w:color="auto" w:fill="FFF9E6"/>
        <w:spacing w:before="40" w:after="60"/>
        <w:ind w:left="170" w:right="170"/>
      </w:pPr>
      <w:r>
        <w:rPr>
          <w:rFonts w:ascii="Calibri" w:hAnsi="Calibri"/>
          <w:b/>
          <w:i/>
          <w:color w:val="643C00"/>
          <w:sz w:val="18"/>
        </w:rPr>
        <w:t xml:space="preserve">💡  Para reflexionar: </w:t>
      </w:r>
      <w:r>
        <w:rPr>
          <w:rFonts w:ascii="Calibri" w:hAnsi="Calibri"/>
          <w:i/>
          <w:color w:val="643C00"/>
          <w:sz w:val="18"/>
        </w:rPr>
        <w:t>¿Está conformado el CAE en tu institución? ¿Se realizaron las Mesas Públicas el semestre pasado? ¿Quiénes participaron? El primer paso para fortalecer el control social del PAE en tu territorio es conocer si estas instancias existen y están funcionando.</w:t>
      </w:r>
    </w:p>
    <w:sectPr w:rsidR="002F513C" w:rsidSect="00034616">
      <w:footerReference w:type="default" r:id="rId8"/>
      <w:pgSz w:w="12240" w:h="15840"/>
      <w:pgMar w:top="1020" w:right="1247"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B52C7" w14:textId="77777777" w:rsidR="006B51AA" w:rsidRDefault="006B51AA">
      <w:pPr>
        <w:spacing w:after="0" w:line="240" w:lineRule="auto"/>
      </w:pPr>
      <w:r>
        <w:separator/>
      </w:r>
    </w:p>
  </w:endnote>
  <w:endnote w:type="continuationSeparator" w:id="0">
    <w:p w14:paraId="3066E412" w14:textId="77777777" w:rsidR="006B51AA" w:rsidRDefault="006B5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FF261" w14:textId="77777777" w:rsidR="002F513C" w:rsidRDefault="00000000">
    <w:pPr>
      <w:pStyle w:val="Piedepgina"/>
      <w:jc w:val="center"/>
    </w:pPr>
    <w:r>
      <w:rPr>
        <w:rFonts w:ascii="Calibri" w:hAnsi="Calibri"/>
        <w:i/>
        <w:color w:val="8C8C8C"/>
        <w:sz w:val="15"/>
      </w:rPr>
      <w:t xml:space="preserve">Caso </w:t>
    </w:r>
    <w:proofErr w:type="spellStart"/>
    <w:r>
      <w:rPr>
        <w:rFonts w:ascii="Calibri" w:hAnsi="Calibri"/>
        <w:i/>
        <w:color w:val="8C8C8C"/>
        <w:sz w:val="15"/>
      </w:rPr>
      <w:t>pedagógico</w:t>
    </w:r>
    <w:proofErr w:type="spellEnd"/>
    <w:r>
      <w:rPr>
        <w:rFonts w:ascii="Calibri" w:hAnsi="Calibri"/>
        <w:i/>
        <w:color w:val="8C8C8C"/>
        <w:sz w:val="15"/>
      </w:rPr>
      <w:t xml:space="preserve"> – </w:t>
    </w:r>
    <w:proofErr w:type="spellStart"/>
    <w:r>
      <w:rPr>
        <w:rFonts w:ascii="Calibri" w:hAnsi="Calibri"/>
        <w:i/>
        <w:color w:val="8C8C8C"/>
        <w:sz w:val="15"/>
      </w:rPr>
      <w:t>Módulo</w:t>
    </w:r>
    <w:proofErr w:type="spellEnd"/>
    <w:r>
      <w:rPr>
        <w:rFonts w:ascii="Calibri" w:hAnsi="Calibri"/>
        <w:i/>
        <w:color w:val="8C8C8C"/>
        <w:sz w:val="15"/>
      </w:rPr>
      <w:t xml:space="preserve"> 3 </w:t>
    </w:r>
    <w:proofErr w:type="gramStart"/>
    <w:r>
      <w:rPr>
        <w:rFonts w:ascii="Calibri" w:hAnsi="Calibri"/>
        <w:i/>
        <w:color w:val="8C8C8C"/>
        <w:sz w:val="15"/>
      </w:rPr>
      <w:t>PAE  |</w:t>
    </w:r>
    <w:proofErr w:type="gramEnd"/>
    <w:r>
      <w:rPr>
        <w:rFonts w:ascii="Calibri" w:hAnsi="Calibri"/>
        <w:i/>
        <w:color w:val="8C8C8C"/>
        <w:sz w:val="15"/>
      </w:rPr>
      <w:t xml:space="preserve">  </w:t>
    </w:r>
    <w:proofErr w:type="spellStart"/>
    <w:r>
      <w:rPr>
        <w:rFonts w:ascii="Calibri" w:hAnsi="Calibri"/>
        <w:i/>
        <w:color w:val="8C8C8C"/>
        <w:sz w:val="15"/>
      </w:rPr>
      <w:t>Resolución</w:t>
    </w:r>
    <w:proofErr w:type="spellEnd"/>
    <w:r>
      <w:rPr>
        <w:rFonts w:ascii="Calibri" w:hAnsi="Calibri"/>
        <w:i/>
        <w:color w:val="8C8C8C"/>
        <w:sz w:val="15"/>
      </w:rPr>
      <w:t xml:space="preserve"> 003 de </w:t>
    </w:r>
    <w:proofErr w:type="gramStart"/>
    <w:r>
      <w:rPr>
        <w:rFonts w:ascii="Calibri" w:hAnsi="Calibri"/>
        <w:i/>
        <w:color w:val="8C8C8C"/>
        <w:sz w:val="15"/>
      </w:rPr>
      <w:t>2026  |</w:t>
    </w:r>
    <w:proofErr w:type="gramEnd"/>
    <w:r>
      <w:rPr>
        <w:rFonts w:ascii="Calibri" w:hAnsi="Calibri"/>
        <w:i/>
        <w:color w:val="8C8C8C"/>
        <w:sz w:val="15"/>
      </w:rPr>
      <w:t xml:space="preserve">  </w:t>
    </w:r>
    <w:proofErr w:type="spellStart"/>
    <w:r>
      <w:rPr>
        <w:rFonts w:ascii="Calibri" w:hAnsi="Calibri"/>
        <w:i/>
        <w:color w:val="8C8C8C"/>
        <w:sz w:val="15"/>
      </w:rPr>
      <w:t>Resolución</w:t>
    </w:r>
    <w:proofErr w:type="spellEnd"/>
    <w:r>
      <w:rPr>
        <w:rFonts w:ascii="Calibri" w:hAnsi="Calibri"/>
        <w:i/>
        <w:color w:val="8C8C8C"/>
        <w:sz w:val="15"/>
      </w:rPr>
      <w:t xml:space="preserve"> 0155 de 2026 – Anexo </w:t>
    </w:r>
    <w:proofErr w:type="gramStart"/>
    <w:r>
      <w:rPr>
        <w:rFonts w:ascii="Calibri" w:hAnsi="Calibri"/>
        <w:i/>
        <w:color w:val="8C8C8C"/>
        <w:sz w:val="15"/>
      </w:rPr>
      <w:t>7  |</w:t>
    </w:r>
    <w:proofErr w:type="gramEnd"/>
    <w:r>
      <w:rPr>
        <w:rFonts w:ascii="Calibri" w:hAnsi="Calibri"/>
        <w:i/>
        <w:color w:val="8C8C8C"/>
        <w:sz w:val="15"/>
      </w:rPr>
      <w:t xml:space="preserve">  UApA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BC0" w14:textId="77777777" w:rsidR="006B51AA" w:rsidRDefault="006B51AA">
      <w:pPr>
        <w:spacing w:after="0" w:line="240" w:lineRule="auto"/>
      </w:pPr>
      <w:r>
        <w:separator/>
      </w:r>
    </w:p>
  </w:footnote>
  <w:footnote w:type="continuationSeparator" w:id="0">
    <w:p w14:paraId="1CECC32C" w14:textId="77777777" w:rsidR="006B51AA" w:rsidRDefault="006B51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550114457">
    <w:abstractNumId w:val="8"/>
  </w:num>
  <w:num w:numId="2" w16cid:durableId="1594511020">
    <w:abstractNumId w:val="6"/>
  </w:num>
  <w:num w:numId="3" w16cid:durableId="637416173">
    <w:abstractNumId w:val="5"/>
  </w:num>
  <w:num w:numId="4" w16cid:durableId="524251433">
    <w:abstractNumId w:val="4"/>
  </w:num>
  <w:num w:numId="5" w16cid:durableId="1195119962">
    <w:abstractNumId w:val="7"/>
  </w:num>
  <w:num w:numId="6" w16cid:durableId="1719159905">
    <w:abstractNumId w:val="3"/>
  </w:num>
  <w:num w:numId="7" w16cid:durableId="2131972020">
    <w:abstractNumId w:val="2"/>
  </w:num>
  <w:num w:numId="8" w16cid:durableId="655185025">
    <w:abstractNumId w:val="1"/>
  </w:num>
  <w:num w:numId="9" w16cid:durableId="1335306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6361"/>
    <w:rsid w:val="00034616"/>
    <w:rsid w:val="0006063C"/>
    <w:rsid w:val="0015074B"/>
    <w:rsid w:val="0029639D"/>
    <w:rsid w:val="002F513C"/>
    <w:rsid w:val="00326F90"/>
    <w:rsid w:val="006454DF"/>
    <w:rsid w:val="006B51AA"/>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A177F2"/>
  <w14:defaultImageDpi w14:val="300"/>
  <w15:docId w15:val="{D8616DB7-D6D5-4A46-A5A9-EC50BF0F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233EF50D634152409E62760EDF6BDEB0" ma:contentTypeVersion="15" ma:contentTypeDescription="Crear nuevo documento." ma:contentTypeScope="" ma:versionID="c6bc2c54a29b2e142a91dc2cffd0463a">
  <xsd:schema xmlns:xsd="http://www.w3.org/2001/XMLSchema" xmlns:xs="http://www.w3.org/2001/XMLSchema" xmlns:p="http://schemas.microsoft.com/office/2006/metadata/properties" xmlns:ns2="edb2d03a-b0ac-4019-aba2-8f266c5a37b9" xmlns:ns3="dab95841-2a5b-4d06-988e-dcb998e97977" targetNamespace="http://schemas.microsoft.com/office/2006/metadata/properties" ma:root="true" ma:fieldsID="6b48c38da962a1ccb4cec0c8827d5c9f" ns2:_="" ns3:_="">
    <xsd:import namespace="edb2d03a-b0ac-4019-aba2-8f266c5a37b9"/>
    <xsd:import namespace="dab95841-2a5b-4d06-988e-dcb998e979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2d03a-b0ac-4019-aba2-8f266c5a3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f6cc16-641d-429b-a009-b19071f410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b95841-2a5b-4d06-988e-dcb998e9797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e0af0f29-4adb-4655-8243-bcc732493e8a}" ma:internalName="TaxCatchAll" ma:showField="CatchAllData" ma:web="dab95841-2a5b-4d06-988e-dcb998e979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b2d03a-b0ac-4019-aba2-8f266c5a37b9">
      <Terms xmlns="http://schemas.microsoft.com/office/infopath/2007/PartnerControls"/>
    </lcf76f155ced4ddcb4097134ff3c332f>
    <TaxCatchAll xmlns="dab95841-2a5b-4d06-988e-dcb998e97977"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86C0776D-2162-452E-A883-76317DBDED25}"/>
</file>

<file path=customXml/itemProps3.xml><?xml version="1.0" encoding="utf-8"?>
<ds:datastoreItem xmlns:ds="http://schemas.openxmlformats.org/officeDocument/2006/customXml" ds:itemID="{DAA0B681-35AB-4C1B-BC79-CE2B8F05BE6F}"/>
</file>

<file path=customXml/itemProps4.xml><?xml version="1.0" encoding="utf-8"?>
<ds:datastoreItem xmlns:ds="http://schemas.openxmlformats.org/officeDocument/2006/customXml" ds:itemID="{DC2768BE-ED2C-4589-AEEA-81D5C2088763}"/>
</file>

<file path=docProps/app.xml><?xml version="1.0" encoding="utf-8"?>
<Properties xmlns="http://schemas.openxmlformats.org/officeDocument/2006/extended-properties" xmlns:vt="http://schemas.openxmlformats.org/officeDocument/2006/docPropsVTypes">
  <Template>Normal.dotm</Template>
  <TotalTime>1</TotalTime>
  <Pages>2</Pages>
  <Words>1183</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David Gerardo Bravo Esquinas</cp:lastModifiedBy>
  <cp:revision>2</cp:revision>
  <dcterms:created xsi:type="dcterms:W3CDTF">2026-06-17T16:48:00Z</dcterms:created>
  <dcterms:modified xsi:type="dcterms:W3CDTF">2026-06-17T16:48:00Z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0x010100233EF50D634152409E62760EDF6BDEB0</vt:lpwstr>
  </property>
</Properties>
</file>